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AA3A" w14:textId="77777777" w:rsidR="005C2BC8" w:rsidRDefault="005C2BC8" w:rsidP="002A39FB">
      <w:pPr>
        <w:pStyle w:val="Header"/>
        <w:rPr>
          <w:rFonts w:ascii="Arial" w:hAnsi="Arial"/>
          <w:sz w:val="22"/>
          <w:szCs w:val="22"/>
        </w:rPr>
      </w:pPr>
    </w:p>
    <w:p w14:paraId="055256F9" w14:textId="77777777" w:rsidR="000762DB" w:rsidRDefault="00382401" w:rsidP="002A39FB">
      <w:pPr>
        <w:pStyle w:val="Header"/>
        <w:rPr>
          <w:rFonts w:ascii="Arial" w:hAnsi="Arial"/>
          <w:sz w:val="22"/>
          <w:szCs w:val="22"/>
        </w:rPr>
      </w:pPr>
      <w:r w:rsidRPr="00FE287C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2267565C" wp14:editId="7168D665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5E04">
        <w:rPr>
          <w:rFonts w:ascii="Arial" w:hAnsi="Arial"/>
          <w:sz w:val="22"/>
          <w:szCs w:val="22"/>
        </w:rPr>
        <w:t xml:space="preserve"> </w:t>
      </w:r>
    </w:p>
    <w:p w14:paraId="197873F6" w14:textId="3B173B7F" w:rsidR="00382401" w:rsidRDefault="00333E2A" w:rsidP="002A39FB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bookmarkStart w:id="0" w:name="_Hlk61862719"/>
      <w:r w:rsidR="00382401" w:rsidRPr="00FE287C">
        <w:rPr>
          <w:rFonts w:ascii="Arial" w:hAnsi="Arial"/>
          <w:sz w:val="22"/>
          <w:szCs w:val="22"/>
        </w:rPr>
        <w:t xml:space="preserve">Bosna i Hercegovina           </w:t>
      </w:r>
      <w:r>
        <w:rPr>
          <w:rFonts w:ascii="Arial" w:hAnsi="Arial"/>
          <w:sz w:val="22"/>
          <w:szCs w:val="22"/>
        </w:rPr>
        <w:tab/>
        <w:t xml:space="preserve">                                                   </w:t>
      </w:r>
      <w:r w:rsidR="00382401" w:rsidRPr="00FE287C">
        <w:rPr>
          <w:rFonts w:ascii="Arial" w:hAnsi="Arial"/>
          <w:sz w:val="22"/>
          <w:szCs w:val="22"/>
        </w:rPr>
        <w:t xml:space="preserve"> Bosnia and Herzegovina</w:t>
      </w:r>
    </w:p>
    <w:p w14:paraId="3D0556F2" w14:textId="77777777" w:rsidR="00382401" w:rsidRPr="00FE287C" w:rsidRDefault="00382401" w:rsidP="000B0E52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Federacija </w:t>
      </w:r>
      <w:r w:rsidRPr="00FE287C">
        <w:rPr>
          <w:rFonts w:ascii="Arial" w:hAnsi="Arial"/>
          <w:sz w:val="22"/>
          <w:szCs w:val="22"/>
        </w:rPr>
        <w:t>Bosne i Hercegovine</w:t>
      </w:r>
      <w:r w:rsidRPr="00FE287C">
        <w:rPr>
          <w:rFonts w:ascii="Arial" w:hAnsi="Arial"/>
          <w:sz w:val="22"/>
          <w:szCs w:val="22"/>
        </w:rPr>
        <w:tab/>
      </w:r>
      <w:r w:rsidRPr="00FE287C">
        <w:rPr>
          <w:rFonts w:ascii="Arial" w:hAnsi="Arial"/>
          <w:sz w:val="22"/>
          <w:szCs w:val="22"/>
        </w:rPr>
        <w:tab/>
      </w:r>
      <w:r w:rsidR="00333E2A">
        <w:rPr>
          <w:rFonts w:ascii="Arial" w:hAnsi="Arial"/>
          <w:sz w:val="22"/>
          <w:szCs w:val="22"/>
        </w:rPr>
        <w:t xml:space="preserve">   </w:t>
      </w:r>
      <w:r w:rsidRPr="00FE287C">
        <w:rPr>
          <w:rFonts w:ascii="Arial" w:hAnsi="Arial"/>
          <w:sz w:val="22"/>
          <w:szCs w:val="22"/>
        </w:rPr>
        <w:t xml:space="preserve"> Federation of Bosnia and Herzegovina</w:t>
      </w:r>
    </w:p>
    <w:p w14:paraId="10E54CB2" w14:textId="77777777" w:rsidR="00382401" w:rsidRPr="00FE287C" w:rsidRDefault="00333E2A" w:rsidP="002A39FB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382401" w:rsidRPr="00FE287C">
        <w:rPr>
          <w:rFonts w:ascii="Arial" w:hAnsi="Arial"/>
          <w:sz w:val="22"/>
          <w:szCs w:val="22"/>
        </w:rPr>
        <w:t xml:space="preserve">Zeničko-dobojski kanton                                                     </w:t>
      </w:r>
      <w:r>
        <w:rPr>
          <w:rFonts w:ascii="Arial" w:hAnsi="Arial"/>
          <w:sz w:val="22"/>
          <w:szCs w:val="22"/>
        </w:rPr>
        <w:t xml:space="preserve">   </w:t>
      </w:r>
      <w:r w:rsidR="00382401" w:rsidRPr="00FE287C">
        <w:rPr>
          <w:rFonts w:ascii="Arial" w:hAnsi="Arial"/>
          <w:sz w:val="22"/>
          <w:szCs w:val="22"/>
        </w:rPr>
        <w:t xml:space="preserve">  Zenica-doboj canton</w:t>
      </w:r>
    </w:p>
    <w:p w14:paraId="47BC06C8" w14:textId="77777777" w:rsidR="00382401" w:rsidRPr="00FE287C" w:rsidRDefault="00333E2A" w:rsidP="002A39FB">
      <w:pPr>
        <w:pStyle w:val="Head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</w:t>
      </w:r>
      <w:r w:rsidR="00382401" w:rsidRPr="00FE287C">
        <w:rPr>
          <w:rFonts w:ascii="Arial" w:hAnsi="Arial"/>
          <w:b/>
          <w:sz w:val="22"/>
          <w:szCs w:val="22"/>
        </w:rPr>
        <w:t>OPĆINA BREZA</w:t>
      </w:r>
      <w:r w:rsidR="00382401" w:rsidRPr="00FE287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</w:t>
      </w:r>
      <w:r w:rsidR="00382401" w:rsidRPr="00FE287C">
        <w:rPr>
          <w:rFonts w:ascii="Arial" w:hAnsi="Arial"/>
          <w:b/>
          <w:sz w:val="22"/>
          <w:szCs w:val="22"/>
        </w:rPr>
        <w:t>MUNICIPALITY OF BREZA</w:t>
      </w:r>
    </w:p>
    <w:p w14:paraId="135CF064" w14:textId="77777777" w:rsidR="00382401" w:rsidRPr="00FE287C" w:rsidRDefault="00333E2A" w:rsidP="002A39FB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382401" w:rsidRPr="00FE287C">
        <w:rPr>
          <w:rFonts w:ascii="Arial" w:hAnsi="Arial"/>
          <w:sz w:val="22"/>
          <w:szCs w:val="22"/>
        </w:rPr>
        <w:t xml:space="preserve">Općinski načelnik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</w:t>
      </w:r>
      <w:r w:rsidR="00382401" w:rsidRPr="00FE287C">
        <w:rPr>
          <w:rFonts w:ascii="Arial" w:hAnsi="Arial"/>
          <w:sz w:val="22"/>
          <w:szCs w:val="22"/>
        </w:rPr>
        <w:t xml:space="preserve"> Municipality major</w:t>
      </w:r>
    </w:p>
    <w:p w14:paraId="6F7ED59C" w14:textId="77777777" w:rsidR="00382401" w:rsidRDefault="00382401" w:rsidP="00382401">
      <w:pPr>
        <w:jc w:val="both"/>
        <w:rPr>
          <w:rFonts w:eastAsia="Times New Roman"/>
          <w:sz w:val="20"/>
          <w:szCs w:val="20"/>
          <w:lang w:val="en-GB" w:eastAsia="ar-SA"/>
        </w:rPr>
      </w:pPr>
    </w:p>
    <w:p w14:paraId="01E3C389" w14:textId="5F3D7E51" w:rsidR="003D1967" w:rsidRDefault="003D1967" w:rsidP="00382401">
      <w:pPr>
        <w:jc w:val="both"/>
        <w:rPr>
          <w:b/>
          <w:szCs w:val="24"/>
        </w:rPr>
      </w:pPr>
    </w:p>
    <w:p w14:paraId="5523D41F" w14:textId="77777777" w:rsidR="00C05E23" w:rsidRDefault="00C05E23" w:rsidP="00382401">
      <w:pPr>
        <w:jc w:val="both"/>
        <w:rPr>
          <w:b/>
          <w:szCs w:val="24"/>
        </w:rPr>
      </w:pPr>
      <w:bookmarkStart w:id="1" w:name="_Hlk61862921"/>
    </w:p>
    <w:p w14:paraId="64946BD1" w14:textId="77777777" w:rsidR="00AE3C23" w:rsidRDefault="00AE3C23" w:rsidP="003F2331">
      <w:pPr>
        <w:jc w:val="center"/>
        <w:rPr>
          <w:b/>
          <w:szCs w:val="24"/>
        </w:rPr>
      </w:pPr>
      <w:r>
        <w:rPr>
          <w:b/>
          <w:szCs w:val="24"/>
        </w:rPr>
        <w:t xml:space="preserve">INFORMACIJA </w:t>
      </w:r>
    </w:p>
    <w:p w14:paraId="65398B55" w14:textId="0DDFFA5D" w:rsidR="00382401" w:rsidRPr="003F2331" w:rsidRDefault="002E0B4E" w:rsidP="003F2331">
      <w:pPr>
        <w:jc w:val="center"/>
        <w:rPr>
          <w:b/>
          <w:szCs w:val="24"/>
        </w:rPr>
      </w:pPr>
      <w:r>
        <w:rPr>
          <w:b/>
          <w:szCs w:val="24"/>
        </w:rPr>
        <w:t>o koncesijama</w:t>
      </w:r>
      <w:r w:rsidR="009C18BA">
        <w:rPr>
          <w:b/>
          <w:szCs w:val="24"/>
        </w:rPr>
        <w:t xml:space="preserve">  </w:t>
      </w:r>
      <w:r w:rsidR="003D1967">
        <w:rPr>
          <w:b/>
          <w:szCs w:val="24"/>
        </w:rPr>
        <w:t>na području općine Breza</w:t>
      </w:r>
    </w:p>
    <w:bookmarkEnd w:id="1"/>
    <w:p w14:paraId="1AD5A87C" w14:textId="77777777" w:rsidR="001730C2" w:rsidRDefault="001730C2" w:rsidP="00382401">
      <w:pPr>
        <w:jc w:val="both"/>
        <w:rPr>
          <w:szCs w:val="24"/>
        </w:rPr>
      </w:pPr>
    </w:p>
    <w:p w14:paraId="6ED8A15B" w14:textId="079A7FA2" w:rsidR="002E0B4E" w:rsidRPr="00D92FCF" w:rsidRDefault="002E0B4E" w:rsidP="00D92FCF">
      <w:pPr>
        <w:ind w:firstLine="708"/>
        <w:jc w:val="both"/>
      </w:pPr>
      <w:r>
        <w:t>Na osnovu Zakona o koncesijama Zeničko-dobojskog kantona („Službene novine Zeničko-dobojskog kantona“, broj: 05/03)</w:t>
      </w:r>
      <w:r w:rsidR="0003673D">
        <w:t>-prečišćeni tekst</w:t>
      </w:r>
      <w:r>
        <w:t xml:space="preserve">,  Zakona o geološkim istraživanjima Zeničko-dobojskog kantona  („Službene novine Zeničko-dobojskog kantona“, broj:8/12) i Zakona o rudarstvu Zeničko-dobojskog kantona  („Službene novine Zeničko-dobojskog kantona“, broj:10/12), </w:t>
      </w:r>
      <w:r w:rsidR="00C05E23">
        <w:t>tri</w:t>
      </w:r>
      <w:r>
        <w:t xml:space="preserve"> privredn</w:t>
      </w:r>
      <w:r w:rsidR="00C05E23">
        <w:t>a</w:t>
      </w:r>
      <w:r>
        <w:t xml:space="preserve"> subjekta je potpisalo koncesione ugovore na istraživanje i eksploataciju čvrstih mineralnih resursa na području općine Breza. Kao krovni zakoni za oblast koncesija na području Zeničko-dobojskog kantona su:</w:t>
      </w:r>
    </w:p>
    <w:p w14:paraId="07B30704" w14:textId="18864E17" w:rsidR="002E0B4E" w:rsidRPr="00752849" w:rsidRDefault="002E0B4E" w:rsidP="002E0B4E">
      <w:pPr>
        <w:numPr>
          <w:ilvl w:val="0"/>
          <w:numId w:val="1"/>
        </w:numPr>
        <w:jc w:val="both"/>
      </w:pPr>
      <w:r w:rsidRPr="00752849">
        <w:t>Zakon o koncesijama Bosne i Hercegovine (</w:t>
      </w:r>
      <w:r>
        <w:t>„</w:t>
      </w:r>
      <w:r w:rsidRPr="00752849">
        <w:t>Službeni glasnik Bosne i Hercegovine</w:t>
      </w:r>
      <w:r>
        <w:t>“</w:t>
      </w:r>
      <w:r w:rsidRPr="00752849">
        <w:t xml:space="preserve">, broj: 32/02), </w:t>
      </w:r>
    </w:p>
    <w:p w14:paraId="7A20C7BE" w14:textId="449F1D01" w:rsidR="002E0B4E" w:rsidRPr="00752849" w:rsidRDefault="002E0B4E" w:rsidP="002E0B4E">
      <w:pPr>
        <w:numPr>
          <w:ilvl w:val="0"/>
          <w:numId w:val="1"/>
        </w:numPr>
        <w:jc w:val="both"/>
      </w:pPr>
      <w:r w:rsidRPr="00752849">
        <w:t>Zakon o koncesijama Federacije Bosne i Hercegovine (</w:t>
      </w:r>
      <w:r>
        <w:t>„</w:t>
      </w:r>
      <w:r w:rsidRPr="00752849">
        <w:t>Službene novine Federacije Bosne i Hercegovine</w:t>
      </w:r>
      <w:r>
        <w:t>“</w:t>
      </w:r>
      <w:r w:rsidRPr="00752849">
        <w:t>, broj: 40/02</w:t>
      </w:r>
      <w:r>
        <w:t>)</w:t>
      </w:r>
      <w:r w:rsidRPr="00752849">
        <w:t xml:space="preserve"> </w:t>
      </w:r>
      <w:r>
        <w:t>,</w:t>
      </w:r>
    </w:p>
    <w:p w14:paraId="159C7615" w14:textId="1602E881" w:rsidR="002E0B4E" w:rsidRDefault="002E0B4E" w:rsidP="002E0B4E">
      <w:pPr>
        <w:numPr>
          <w:ilvl w:val="0"/>
          <w:numId w:val="1"/>
        </w:numPr>
        <w:jc w:val="both"/>
      </w:pPr>
      <w:r>
        <w:t>Zakon o dopunama Zakona o koncesijama („Službene novine Federacije BiH“, broj: 61/06);</w:t>
      </w:r>
    </w:p>
    <w:p w14:paraId="358EF0FF" w14:textId="2BC9E2DB" w:rsidR="005B79C6" w:rsidRDefault="002E0B4E" w:rsidP="00E83EBB">
      <w:pPr>
        <w:numPr>
          <w:ilvl w:val="0"/>
          <w:numId w:val="1"/>
        </w:numPr>
        <w:jc w:val="both"/>
      </w:pPr>
      <w:r>
        <w:t>Pravila o postupku dodjele koncesije   („Službene novine Federacije BiH“, broj: 68/06);</w:t>
      </w:r>
    </w:p>
    <w:p w14:paraId="62B810F3" w14:textId="4EEB57AA" w:rsidR="002E0B4E" w:rsidRDefault="00D92FCF" w:rsidP="00E83EBB">
      <w:pPr>
        <w:jc w:val="both"/>
      </w:pPr>
      <w:r>
        <w:t>Na području općine Breza eksploataciju čvrstih mineralnih resursa vrše sljedeći privredni subjekti:</w:t>
      </w:r>
    </w:p>
    <w:p w14:paraId="22D96F45" w14:textId="2DC29252" w:rsidR="002E0B4E" w:rsidRPr="00F052E5" w:rsidRDefault="00F052E5" w:rsidP="00E83EBB">
      <w:pPr>
        <w:jc w:val="both"/>
      </w:pPr>
      <w:r>
        <w:t xml:space="preserve">   </w:t>
      </w:r>
      <w:r w:rsidR="00D92FCF">
        <w:t>-„Sanex“ d.o.o. Breza</w:t>
      </w:r>
      <w:r w:rsidR="006C6531">
        <w:t>,</w:t>
      </w:r>
      <w:r w:rsidR="00D92FCF">
        <w:t xml:space="preserve"> vrši eksploataciju kvarcnog pijeska na lokaciji </w:t>
      </w:r>
      <w:r w:rsidR="00D92FCF" w:rsidRPr="00CF6675">
        <w:rPr>
          <w:sz w:val="22"/>
        </w:rPr>
        <w:t>„Nezirov Gaj“</w:t>
      </w:r>
      <w:r>
        <w:rPr>
          <w:sz w:val="22"/>
        </w:rPr>
        <w:t>,</w:t>
      </w:r>
      <w:r w:rsidR="00D92FCF">
        <w:rPr>
          <w:sz w:val="22"/>
        </w:rPr>
        <w:t xml:space="preserve"> </w:t>
      </w:r>
      <w:r w:rsidR="00D92FCF" w:rsidRPr="00F052E5">
        <w:t xml:space="preserve">koncesioni </w:t>
      </w:r>
      <w:r w:rsidR="003F4D1B">
        <w:t>U</w:t>
      </w:r>
      <w:r w:rsidR="00D92FCF" w:rsidRPr="00F052E5">
        <w:t>govor</w:t>
      </w:r>
      <w:r w:rsidR="006C6531">
        <w:t xml:space="preserve"> </w:t>
      </w:r>
      <w:r w:rsidR="00CA7A22" w:rsidRPr="00F052E5">
        <w:t>potpisan</w:t>
      </w:r>
      <w:r w:rsidR="00CA7A22">
        <w:t xml:space="preserve"> </w:t>
      </w:r>
      <w:r w:rsidR="006C6531">
        <w:t>dana</w:t>
      </w:r>
      <w:r w:rsidR="00D92FCF" w:rsidRPr="00F052E5">
        <w:t xml:space="preserve"> 23.04.2007. godine, </w:t>
      </w:r>
      <w:r w:rsidR="00CA7A22">
        <w:t xml:space="preserve">Ugovor </w:t>
      </w:r>
      <w:r w:rsidR="00D92FCF" w:rsidRPr="00F052E5">
        <w:t>broj: KC 20/2007</w:t>
      </w:r>
      <w:r w:rsidRPr="00F052E5">
        <w:t>;</w:t>
      </w:r>
    </w:p>
    <w:p w14:paraId="32DF98C6" w14:textId="3FBDA2D7" w:rsidR="00F052E5" w:rsidRPr="00F052E5" w:rsidRDefault="00F052E5" w:rsidP="00E83EBB">
      <w:pPr>
        <w:jc w:val="both"/>
      </w:pPr>
      <w:r>
        <w:t xml:space="preserve">   </w:t>
      </w:r>
      <w:r w:rsidRPr="00F052E5">
        <w:t>-„</w:t>
      </w:r>
      <w:r w:rsidR="00A074F4">
        <w:t>Able Investment</w:t>
      </w:r>
      <w:r w:rsidRPr="00F052E5">
        <w:t>“</w:t>
      </w:r>
      <w:r w:rsidR="00E83EBB">
        <w:t xml:space="preserve"> </w:t>
      </w:r>
      <w:r w:rsidRPr="00F052E5">
        <w:t>d.o.o.</w:t>
      </w:r>
      <w:r w:rsidR="00E83EBB">
        <w:t xml:space="preserve"> </w:t>
      </w:r>
      <w:r w:rsidRPr="00F052E5">
        <w:t>Sarajevo</w:t>
      </w:r>
      <w:r w:rsidR="006C6531">
        <w:t>,</w:t>
      </w:r>
      <w:r w:rsidRPr="00F052E5">
        <w:t xml:space="preserve"> vrši eksploataciju krečnjaka na lokaciji Krivodol - Morava</w:t>
      </w:r>
      <w:r w:rsidR="001730C2">
        <w:t>,</w:t>
      </w:r>
      <w:r w:rsidRPr="00F052E5">
        <w:t xml:space="preserve"> Župča, Breza</w:t>
      </w:r>
      <w:r>
        <w:t xml:space="preserve">, </w:t>
      </w:r>
      <w:r w:rsidRPr="00F052E5">
        <w:t xml:space="preserve">koncesioni </w:t>
      </w:r>
      <w:r w:rsidR="00E83EBB">
        <w:t>U</w:t>
      </w:r>
      <w:r w:rsidRPr="00F052E5">
        <w:t>govor</w:t>
      </w:r>
      <w:r>
        <w:t xml:space="preserve"> </w:t>
      </w:r>
      <w:r w:rsidR="00CA7A22" w:rsidRPr="00F052E5">
        <w:t>potpisan</w:t>
      </w:r>
      <w:r w:rsidR="00CA7A22">
        <w:t xml:space="preserve"> </w:t>
      </w:r>
      <w:r w:rsidR="006C6531">
        <w:t xml:space="preserve">dana </w:t>
      </w:r>
      <w:r w:rsidRPr="00F052E5">
        <w:t xml:space="preserve">25.04.2005.godine, </w:t>
      </w:r>
      <w:r w:rsidR="00CA7A22">
        <w:t xml:space="preserve">Ugovor </w:t>
      </w:r>
      <w:r w:rsidRPr="00F052E5">
        <w:t>broj:</w:t>
      </w:r>
      <w:r w:rsidR="00CC6FB1">
        <w:t xml:space="preserve"> </w:t>
      </w:r>
      <w:r w:rsidRPr="00F052E5">
        <w:t>KC 17/05</w:t>
      </w:r>
      <w:r w:rsidR="00CC6FB1">
        <w:t>;</w:t>
      </w:r>
      <w:r w:rsidRPr="00F052E5">
        <w:t xml:space="preserve">  </w:t>
      </w:r>
    </w:p>
    <w:p w14:paraId="48A7B27E" w14:textId="41E572CE" w:rsidR="00EF20A1" w:rsidRDefault="00F052E5" w:rsidP="00E83EBB">
      <w:pPr>
        <w:jc w:val="both"/>
      </w:pPr>
      <w:r>
        <w:t xml:space="preserve">   </w:t>
      </w:r>
      <w:r w:rsidRPr="00F052E5">
        <w:t>-„Rudnik krečnjaka Breza”</w:t>
      </w:r>
      <w:r>
        <w:t xml:space="preserve"> </w:t>
      </w:r>
      <w:r w:rsidRPr="00F052E5">
        <w:t xml:space="preserve">d.o.o. Breza, </w:t>
      </w:r>
      <w:r w:rsidR="00E83EBB">
        <w:t xml:space="preserve"> </w:t>
      </w:r>
      <w:r w:rsidRPr="00F052E5">
        <w:t xml:space="preserve">vrši eksploataciju krečnjaka na lokalitetu Nedići –Breza, koncesioni </w:t>
      </w:r>
      <w:r w:rsidR="00E83EBB">
        <w:t>U</w:t>
      </w:r>
      <w:r w:rsidRPr="00F052E5">
        <w:t xml:space="preserve">govor </w:t>
      </w:r>
      <w:r w:rsidR="00CA7A22" w:rsidRPr="00F052E5">
        <w:t>potpisan</w:t>
      </w:r>
      <w:r w:rsidR="00CA7A22">
        <w:t xml:space="preserve"> </w:t>
      </w:r>
      <w:r w:rsidR="006C6531">
        <w:t xml:space="preserve">dana </w:t>
      </w:r>
      <w:r w:rsidRPr="00F052E5">
        <w:t xml:space="preserve">01.10.2003.godine, </w:t>
      </w:r>
      <w:r w:rsidR="00CA7A22">
        <w:t xml:space="preserve">Ugovor </w:t>
      </w:r>
      <w:r w:rsidRPr="00F052E5">
        <w:t>broj:</w:t>
      </w:r>
      <w:r w:rsidR="00CC6FB1">
        <w:t xml:space="preserve"> </w:t>
      </w:r>
      <w:r w:rsidRPr="00F052E5">
        <w:t>KC 11/03</w:t>
      </w:r>
      <w:r w:rsidR="00CC6FB1">
        <w:t xml:space="preserve">. </w:t>
      </w:r>
    </w:p>
    <w:p w14:paraId="20A36AB3" w14:textId="0AB8B202" w:rsidR="00971EDB" w:rsidRDefault="00CC6FB1" w:rsidP="00971EDB">
      <w:pPr>
        <w:jc w:val="both"/>
      </w:pPr>
      <w:r>
        <w:t xml:space="preserve">U </w:t>
      </w:r>
      <w:r w:rsidR="00F052E5">
        <w:t>međuvremenu,</w:t>
      </w:r>
      <w:r>
        <w:t xml:space="preserve"> </w:t>
      </w:r>
      <w:r w:rsidR="00F052E5">
        <w:t>na osnovu Odluke Vl</w:t>
      </w:r>
      <w:r>
        <w:t>a</w:t>
      </w:r>
      <w:r w:rsidR="00F052E5">
        <w:t xml:space="preserve">de Zeničko-dobojskog kantona, </w:t>
      </w:r>
      <w:r>
        <w:t>broj:</w:t>
      </w:r>
      <w:r w:rsidR="00E83EBB">
        <w:t xml:space="preserve"> </w:t>
      </w:r>
      <w:r w:rsidR="00F052E5">
        <w:t>02/18-11636/10 od 18.07.2019. godine</w:t>
      </w:r>
      <w:r>
        <w:t>, Ministarstvo za privredu je pokrenulo procedur</w:t>
      </w:r>
      <w:r w:rsidR="00D53641">
        <w:t>u</w:t>
      </w:r>
      <w:r w:rsidR="003F4D1B">
        <w:t xml:space="preserve"> </w:t>
      </w:r>
      <w:r>
        <w:t xml:space="preserve"> raskida koncesionog </w:t>
      </w:r>
      <w:r w:rsidR="0003673D">
        <w:t>U</w:t>
      </w:r>
      <w:r>
        <w:t xml:space="preserve">govora </w:t>
      </w:r>
      <w:r w:rsidR="00EF20A1">
        <w:t xml:space="preserve">sa privrednim subjektom “Rudnik krečnjaka Breza“ d.o.o. Breza, </w:t>
      </w:r>
      <w:r>
        <w:t>zbog neplaćanja koncesione naknade</w:t>
      </w:r>
      <w:r w:rsidR="00AE3C23">
        <w:t>.</w:t>
      </w:r>
      <w:r>
        <w:t xml:space="preserve"> </w:t>
      </w:r>
      <w:r w:rsidR="00EF20A1">
        <w:t xml:space="preserve"> </w:t>
      </w:r>
    </w:p>
    <w:p w14:paraId="4CB9AA21" w14:textId="5DD9F072" w:rsidR="005B79C6" w:rsidRDefault="00EF20A1" w:rsidP="002F5C46">
      <w:pPr>
        <w:jc w:val="both"/>
      </w:pPr>
      <w:r>
        <w:t>Privredni subjekt „Rudnik krečnjaka Breza“ d.o.o. Breza, zaključno sa 30.06.2019. godine, ima dug 350.049,33 KM</w:t>
      </w:r>
      <w:r w:rsidR="00CA7A22">
        <w:t>,</w:t>
      </w:r>
      <w:r>
        <w:t xml:space="preserve"> što nije i konačno stanje duga, jer je potrebno izvršiti konačno geodetsko mjerenje  tj. stanje po obustavljanju svih radova na lokalitetu kamenoloma krečnjaka Nedići.</w:t>
      </w:r>
    </w:p>
    <w:p w14:paraId="3C10840C" w14:textId="4425002F" w:rsidR="005B79C6" w:rsidRDefault="00F44341" w:rsidP="002F5C46">
      <w:pPr>
        <w:ind w:firstLine="708"/>
        <w:jc w:val="both"/>
      </w:pPr>
      <w:r w:rsidRPr="00E723C0">
        <w:t xml:space="preserve">Prema podacima Ministarstva za privredu Zeničko-dobojskog kantona, privredni subjekti „Sanex“ d.o.o. Breza i „Able Investment“ d.o.o. Sarajevo su uplatili koncesioni dug  za eksploataciju mineralnih resursa („Able Investment“ uplatio 16.11.2020. godine  iznos od 67.500,00 KM što je i bio dug iz predhodnog perioda, „Sanex“ d.o.o. Breza je uplatio 20.000,00 KM kao dug iz predhodnog perioda). Od uplaćenih sredstava, po Zakonu o koncesijama Zeničko-dobojskog kantona, 70% </w:t>
      </w:r>
      <w:r w:rsidR="00AE3C23">
        <w:t>pripada</w:t>
      </w:r>
      <w:r w:rsidRPr="00E723C0">
        <w:t xml:space="preserve"> općini na čijoj teritoriji se vrši eksploatacija i 30%  Kantonu, s tim da se iz sredstava od 30% koji ostaju Kantonu </w:t>
      </w:r>
      <w:bookmarkEnd w:id="0"/>
      <w:r w:rsidRPr="00E723C0">
        <w:t xml:space="preserve">finansiraju  projekti koji imaju direktne veze sa kamenolom u općini na ćijoj teritoriji se vrši </w:t>
      </w:r>
      <w:r w:rsidRPr="00E723C0">
        <w:lastRenderedPageBreak/>
        <w:t>eksploatacija (popravak cesta, asfaltiranje puteva do kamenoloma, rasvjeta kroz naselja kroz koja prolazi put prema kamenolomu</w:t>
      </w:r>
      <w:r>
        <w:t>, kupovina praonica za pranje kamiona koji transportuju eksploatisani čvrsti mineralni resurs</w:t>
      </w:r>
      <w:r w:rsidRPr="00E723C0">
        <w:t xml:space="preserve"> i td.).</w:t>
      </w:r>
    </w:p>
    <w:p w14:paraId="4BC38E71" w14:textId="6183D373" w:rsidR="00971EDB" w:rsidRDefault="00634B12" w:rsidP="00971EDB">
      <w:pPr>
        <w:ind w:firstLine="708"/>
        <w:jc w:val="both"/>
      </w:pPr>
      <w:r w:rsidRPr="00634B12">
        <w:rPr>
          <w:rFonts w:cs="Arial"/>
          <w:color w:val="000000"/>
          <w:szCs w:val="24"/>
        </w:rPr>
        <w:t xml:space="preserve">Ministarstvu za privredu Zeničko-dobojskog kantona, krajem 2017. godine, obratili su se privredni subjekti ZD RMU “ZENICA” d.o.o. Zenica, ZD RMU “KAKANJ” d.o.o. Kakanj i ZD </w:t>
      </w:r>
      <w:r w:rsidRPr="00634B12">
        <w:t>RMU “BREZA” d.o.o. Breza, zahtjevima za dodjelu koncesije za istraživanje i eksploataciju mineralne sirovine uglja na području Općine Kakanj, Općine Breza i Grada Zenica.</w:t>
      </w:r>
      <w:r w:rsidR="001D7D5C">
        <w:t xml:space="preserve"> </w:t>
      </w:r>
      <w:r w:rsidR="00AE3C23">
        <w:t xml:space="preserve"> </w:t>
      </w:r>
      <w:r w:rsidRPr="00634B12">
        <w:t>U skladu sa Zakonom o koncesijama</w:t>
      </w:r>
      <w:r>
        <w:t xml:space="preserve"> Zeničko-dobojskog kantona</w:t>
      </w:r>
      <w:r w:rsidRPr="00634B12">
        <w:t>, osnovni akt za procjenu postojanja javnog interesa (analizira se koncesioni projekat sa aspekta uravnoteženog regionalnog razvoja, ekonomskog, sociološkog, ekološkog, uređenja i korištenja prostora na kome se realizira projekat), od općinsk</w:t>
      </w:r>
      <w:r w:rsidR="001D7D5C">
        <w:t>og</w:t>
      </w:r>
      <w:r w:rsidRPr="00634B12">
        <w:t xml:space="preserve"> vijeća</w:t>
      </w:r>
      <w:r w:rsidR="001D7D5C">
        <w:t xml:space="preserve"> Breza</w:t>
      </w:r>
      <w:r w:rsidRPr="00634B12">
        <w:t xml:space="preserve"> zatražena je Saglasnost za dodjelu koncesija.</w:t>
      </w:r>
      <w:r w:rsidR="00971EDB">
        <w:t xml:space="preserve"> </w:t>
      </w:r>
      <w:r w:rsidRPr="00634B12">
        <w:t>Imajući u vidu daljnje vođenje postupka dodjele koncesije, a u skladu sa članom 1. Zakona o dopunama Zakona o kon</w:t>
      </w:r>
      <w:r w:rsidR="001D7D5C">
        <w:t>c</w:t>
      </w:r>
      <w:r w:rsidRPr="00634B12">
        <w:t xml:space="preserve">esijama </w:t>
      </w:r>
      <w:r>
        <w:t xml:space="preserve">FBiH </w:t>
      </w:r>
      <w:r w:rsidRPr="00634B12">
        <w:t xml:space="preserve">i članom 8. Zakona o koncesijama </w:t>
      </w:r>
      <w:r>
        <w:t>Zeničko-dobojskog kantona</w:t>
      </w:r>
      <w:r w:rsidRPr="00634B12">
        <w:t xml:space="preserve">, Ministarstvo za privredu obratilo se </w:t>
      </w:r>
      <w:r w:rsidR="003D1967">
        <w:t xml:space="preserve">općinskom vijeću </w:t>
      </w:r>
      <w:r w:rsidRPr="00634B12">
        <w:t>Breza, Zahtjev</w:t>
      </w:r>
      <w:r w:rsidR="003D1967">
        <w:t>om</w:t>
      </w:r>
      <w:r w:rsidRPr="00634B12">
        <w:t xml:space="preserve"> za davanje Saglasnosti </w:t>
      </w:r>
      <w:r w:rsidR="003D1967">
        <w:t>v</w:t>
      </w:r>
      <w:r w:rsidRPr="00634B12">
        <w:t>ijeća za dodjelu koncesije za eksploataciju uglja na područj</w:t>
      </w:r>
      <w:r w:rsidR="003D1967">
        <w:t>u</w:t>
      </w:r>
      <w:r w:rsidRPr="00634B12">
        <w:t xml:space="preserve"> </w:t>
      </w:r>
      <w:r w:rsidR="003D1967">
        <w:t>Breze</w:t>
      </w:r>
      <w:r w:rsidRPr="00634B12">
        <w:t>.</w:t>
      </w:r>
      <w:r>
        <w:t xml:space="preserve"> </w:t>
      </w:r>
      <w:r w:rsidRPr="00634B12">
        <w:t>Saglasnost općinsk</w:t>
      </w:r>
      <w:r w:rsidR="003D1967">
        <w:t>og</w:t>
      </w:r>
      <w:r w:rsidRPr="00634B12">
        <w:t xml:space="preserve"> vijeća predstavlja polazni osnov Komisiji za koncesije za procjenu postojanja javnog interesa, što je prvi uslov za donošenje Odluke Vlade Kantona o pristupanju provođenja procedure dodjele koncesije.</w:t>
      </w:r>
      <w:r w:rsidR="00E723C0">
        <w:t xml:space="preserve"> </w:t>
      </w:r>
    </w:p>
    <w:p w14:paraId="04D4721E" w14:textId="4B457514" w:rsidR="0052641A" w:rsidRDefault="00971EDB" w:rsidP="0052641A">
      <w:pPr>
        <w:ind w:firstLine="708"/>
        <w:jc w:val="both"/>
      </w:pPr>
      <w:r>
        <w:t xml:space="preserve">Odlukom, broj: 01/1-02-480/18 od 27.02.2018. godine, Općinsko vijeće Breza je dalo predhodnu saglasnost na dodjelu koncesije za istraživanje i eksploataciju mineralnog resursa-uglja na području Općine Breza u kojoj je navedena površina od 1.276,038 ha na kojoj su odobreni istražno-eksploatacioni radovi. </w:t>
      </w:r>
      <w:r w:rsidR="006326DD" w:rsidRPr="006326DD">
        <w:t>Nadalje, u cilju olakšavanja uslova dodjele koncesije rudnicima mrkog uglja, na prijedlog Ministarstva za privredu</w:t>
      </w:r>
      <w:r w:rsidR="00084F95">
        <w:t>,</w:t>
      </w:r>
      <w:r w:rsidR="006326DD" w:rsidRPr="006326DD">
        <w:t xml:space="preserve"> Vlada Kantona je na 170. sjednici, održanoj dana 22.11.2018. godine, donijela Odluku o izmjenama i dopunama Odluke o utvrđivanju minimalnih naknada za koncesije, broj: 02-14-17397/18 od 22.11.2018. godine.</w:t>
      </w:r>
      <w:r w:rsidR="008A6491">
        <w:t xml:space="preserve"> </w:t>
      </w:r>
      <w:r w:rsidR="006326DD" w:rsidRPr="006326DD">
        <w:t>Na ovaj način su kreirane realnije pretpostavke za izmirivanje koncesionih naknada za istraživanje i eksploataciju uglja u Kantonu.</w:t>
      </w:r>
      <w:r w:rsidR="00084F95">
        <w:t xml:space="preserve"> </w:t>
      </w:r>
    </w:p>
    <w:p w14:paraId="77D72476" w14:textId="3EE1CF44" w:rsidR="0052641A" w:rsidRDefault="008A6491" w:rsidP="008A6491">
      <w:pPr>
        <w:jc w:val="both"/>
      </w:pPr>
      <w:r>
        <w:t>P</w:t>
      </w:r>
      <w:r w:rsidR="0052641A">
        <w:t>rijedlog Radne grupe imenovane od strane Vlade Zeničko-dobojskog kantona za pripremu izmjene Odluke o utvrđivanju minimalnih naknada za koncesije</w:t>
      </w:r>
      <w:r w:rsidR="001D7D5C">
        <w:t xml:space="preserve"> </w:t>
      </w:r>
      <w:r w:rsidR="0052641A">
        <w:t xml:space="preserve">je da cijena jednokratne koncesione naknade bude 250,00 KM po hektaru istražno-eksploatacionog prostora, a kontinuirana naknada 0,35 KM po toni iskopanog uglja. Jednokratna koncesiona naknada se plaća jednom u toku istražno-eksplotacionih radova, a kontinuirana se plaća svake godine prema geodetskim podacioma o eksploatisanim količinama mineralnog resursa-uglja. Kako rudnik Breza zauzima prostor od 2.088,44 ha i svjesni da je iznos koji bi Rudnik trebao platiti veliko opterečenje za ionako preopterečene rudničke finansije, prijedlog Radne grupe prema Vladi Zeničko-dobojskog kantona   je da se omogući plaćanje jednokratne koncesione naknade u obrocima. Proizvodnja koju je Rudnik „Breza“ imao u </w:t>
      </w:r>
      <w:r w:rsidR="00C05E23">
        <w:t>tr</w:t>
      </w:r>
      <w:r w:rsidR="00562BC7">
        <w:t>e</w:t>
      </w:r>
      <w:r w:rsidR="00C05E23">
        <w:t>tiranim</w:t>
      </w:r>
      <w:r w:rsidR="0052641A">
        <w:t xml:space="preserve"> periodima je:</w:t>
      </w:r>
    </w:p>
    <w:p w14:paraId="74A3D6F2" w14:textId="77777777" w:rsidR="00CB56A3" w:rsidRDefault="00CB56A3" w:rsidP="008A6491">
      <w:pPr>
        <w:jc w:val="both"/>
      </w:pPr>
    </w:p>
    <w:p w14:paraId="139ECA91" w14:textId="77777777" w:rsidR="0052641A" w:rsidRDefault="0052641A" w:rsidP="0052641A">
      <w:pPr>
        <w:ind w:firstLine="708"/>
        <w:jc w:val="both"/>
      </w:pPr>
      <w:r>
        <w:t xml:space="preserve">-2014. godine proizvodnju od 455.520,00 tona, </w:t>
      </w:r>
    </w:p>
    <w:p w14:paraId="4DCDCE5A" w14:textId="77777777" w:rsidR="0052641A" w:rsidRDefault="0052641A" w:rsidP="0052641A">
      <w:pPr>
        <w:ind w:firstLine="708"/>
        <w:jc w:val="both"/>
      </w:pPr>
      <w:r>
        <w:t xml:space="preserve">-2015. godine proizvodnju od 473.126,00 tona, </w:t>
      </w:r>
    </w:p>
    <w:p w14:paraId="6B723CF1" w14:textId="77777777" w:rsidR="0052641A" w:rsidRDefault="0052641A" w:rsidP="0052641A">
      <w:pPr>
        <w:ind w:firstLine="708"/>
        <w:jc w:val="both"/>
      </w:pPr>
      <w:r>
        <w:t xml:space="preserve">-2016. godine proizvodnju od 541.639,00 tona, </w:t>
      </w:r>
    </w:p>
    <w:p w14:paraId="1898D91F" w14:textId="77777777" w:rsidR="0052641A" w:rsidRDefault="0052641A" w:rsidP="0052641A">
      <w:pPr>
        <w:ind w:firstLine="708"/>
        <w:jc w:val="both"/>
      </w:pPr>
      <w:r>
        <w:t xml:space="preserve">-2017. godine proizvodnju od 676.544,85 tona, </w:t>
      </w:r>
    </w:p>
    <w:p w14:paraId="3ACE3F92" w14:textId="77777777" w:rsidR="0052641A" w:rsidRDefault="0052641A" w:rsidP="0052641A">
      <w:pPr>
        <w:ind w:firstLine="708"/>
        <w:jc w:val="both"/>
      </w:pPr>
      <w:r>
        <w:t xml:space="preserve">-2018. godine proizvodnju od 600.000,00 tona, </w:t>
      </w:r>
    </w:p>
    <w:p w14:paraId="15699E8E" w14:textId="77777777" w:rsidR="0052641A" w:rsidRDefault="0052641A" w:rsidP="0052641A">
      <w:pPr>
        <w:ind w:firstLine="708"/>
        <w:jc w:val="both"/>
      </w:pPr>
      <w:r>
        <w:t>-2019. godine proizvodnju od 650.000,00 tona.</w:t>
      </w:r>
    </w:p>
    <w:p w14:paraId="7DECBF05" w14:textId="77777777" w:rsidR="00CB56A3" w:rsidRDefault="00CB56A3" w:rsidP="0052641A">
      <w:pPr>
        <w:jc w:val="both"/>
      </w:pPr>
    </w:p>
    <w:p w14:paraId="23B05A49" w14:textId="77777777" w:rsidR="00CB56A3" w:rsidRDefault="00CB56A3" w:rsidP="0052641A">
      <w:pPr>
        <w:jc w:val="both"/>
      </w:pPr>
    </w:p>
    <w:p w14:paraId="555C4CDB" w14:textId="7B10B356" w:rsidR="00CB56A3" w:rsidRDefault="0052641A" w:rsidP="002F5C46">
      <w:pPr>
        <w:jc w:val="both"/>
      </w:pPr>
      <w:r>
        <w:t>Rudnik „Breza“ bi, kao kontinuiranu naknadu prema prozvodnji uglja, trebao platiti: 159.432,00 KM za 2014. god, 165.594,10 KM za 2015. god., 189.573,65 KM za 2016. god.  i 236.790,69 KM za 2017. godinu, 2018. godinu 210.000,00 KM, i 2019. godine 227.500,00 KM.</w:t>
      </w:r>
    </w:p>
    <w:p w14:paraId="2FA9588D" w14:textId="3F84667B" w:rsidR="0052641A" w:rsidRDefault="0052641A" w:rsidP="0052641A">
      <w:pPr>
        <w:ind w:firstLine="708"/>
        <w:jc w:val="both"/>
      </w:pPr>
      <w:r>
        <w:lastRenderedPageBreak/>
        <w:t>Što se tiće trenutnog statusa sudskih predmeta po tužbama općine Breza protiv RMU „Breza“ d.o.o. Breza imamo sljedeće podatke:</w:t>
      </w:r>
    </w:p>
    <w:p w14:paraId="0EB6EAD3" w14:textId="2C66109E" w:rsidR="0052641A" w:rsidRDefault="0052641A" w:rsidP="0052641A">
      <w:pPr>
        <w:jc w:val="both"/>
      </w:pPr>
      <w:r>
        <w:t>-Općinsko pravobranilaštvo je dana 18.04.2013. godine podnijelo tužbu protiv RMU „Breza“ ,</w:t>
      </w:r>
      <w:r w:rsidRPr="008F6AEC">
        <w:t xml:space="preserve"> </w:t>
      </w:r>
      <w:r>
        <w:t>Zeničko-dobojskog kantona i Federacije BiH, za period 01.01.2008. godine do 31.12.2013. godine. Ukupna vrijednost spora po ovoj tužbi iznosi 3.657.253,10 KM, ali 31.12.2018. godine Općinski sud u Zenici donosi presudu pod brojem: 43 0 Ps 112421 14 Ps kojom je odbijen tužbeni zahtjev tužitelja. Nakon izjavljene žalbe od strane pravobranilaštva, Kantonalni su</w:t>
      </w:r>
      <w:r w:rsidR="00C05E23">
        <w:t>d</w:t>
      </w:r>
      <w:r>
        <w:t xml:space="preserve"> u Zenici, pod brojem 43 0 Ps 112421 19 Pž od 16.05.2019. godine, donosi presudu kojom se odbija podnesena žalba i potvrđuje prvostepena presuda. Dana 18.06.2019. godine općinsko pravobranilaštvo je izjavilo Reviziju na ovu  presudu i taj predmet se trenutno nalazi na Vrhovnom sudu Federacije Bosne i Hercegovine.</w:t>
      </w:r>
    </w:p>
    <w:p w14:paraId="7C168A30" w14:textId="77777777" w:rsidR="00CB56A3" w:rsidRDefault="00CB56A3" w:rsidP="0052641A">
      <w:pPr>
        <w:jc w:val="both"/>
      </w:pPr>
    </w:p>
    <w:p w14:paraId="1A5B4CB6" w14:textId="7266E872" w:rsidR="0052641A" w:rsidRDefault="0052641A" w:rsidP="0052641A">
      <w:pPr>
        <w:jc w:val="both"/>
      </w:pPr>
      <w:r>
        <w:t>-Općinsko pravobranilaštvo Breza je dana 10.05.2017. godine podnijelo  drugu tužbu protiv RMU „Breza“ d.o.o. Breza,</w:t>
      </w:r>
      <w:r w:rsidRPr="008F6AEC">
        <w:t xml:space="preserve"> </w:t>
      </w:r>
      <w:r>
        <w:t>Zeničko-dobojskog kantona i Federacije BiH, za period 01.01.2014. godine do 31.12.2015. godine  čija ukupna vrijednost spora  iznosi 24.272.577,00 KM. Na ovu tužbu, dana 14.03.2019. godine Općinski sud u Zenici je donio presudu pod brojem 43 0 Ps 146946 17 Ps kojom je odbijen tužbeni zahtjev tužitelja. Dana 16.04.2019. godine uložena je žalba na gore navedenu presudu i predmet se trenutno nalazi na Kantonalnom sudu u Zenici.</w:t>
      </w:r>
    </w:p>
    <w:p w14:paraId="70F0549F" w14:textId="77777777" w:rsidR="005B79C6" w:rsidRDefault="005B79C6" w:rsidP="0052641A">
      <w:pPr>
        <w:jc w:val="both"/>
      </w:pPr>
    </w:p>
    <w:p w14:paraId="3B9AB477" w14:textId="637CB647" w:rsidR="0052641A" w:rsidRDefault="0052641A" w:rsidP="0052641A">
      <w:pPr>
        <w:jc w:val="both"/>
      </w:pPr>
      <w:r>
        <w:t>-Općinsko pravobranilaštvo Breza je dana 10.05.2017.godine podnijelo treću tužbu protiv RMU „Breza“ u Brezi,</w:t>
      </w:r>
      <w:r w:rsidRPr="008F6AEC">
        <w:t xml:space="preserve"> </w:t>
      </w:r>
      <w:r>
        <w:t xml:space="preserve">Zeničko-dobojskog kantona i Federacije BiH, za period 01.01.2016. godine do 31.12.2017. godine, </w:t>
      </w:r>
      <w:r w:rsidR="00562BC7">
        <w:t xml:space="preserve">a </w:t>
      </w:r>
      <w:r>
        <w:t xml:space="preserve">ukupna vrijednost spora iznosi 3.258.835,76 KM. Pripremno ročište po ovoj tužbi je održano 02.07.2019. godine, a </w:t>
      </w:r>
      <w:r w:rsidR="00C05E23">
        <w:t>g</w:t>
      </w:r>
      <w:r>
        <w:t xml:space="preserve">lavna rasprava je </w:t>
      </w:r>
      <w:r w:rsidR="00140932">
        <w:t xml:space="preserve">bila </w:t>
      </w:r>
      <w:r w:rsidR="001C0D2C">
        <w:t xml:space="preserve">zakazana </w:t>
      </w:r>
      <w:r>
        <w:t>za 24.10.2019. godine.</w:t>
      </w:r>
    </w:p>
    <w:p w14:paraId="084740ED" w14:textId="4ABCEAE5" w:rsidR="00CB56A3" w:rsidRDefault="0052641A" w:rsidP="002F5C46">
      <w:pPr>
        <w:jc w:val="both"/>
      </w:pPr>
      <w:r>
        <w:t>Iz svega navedenog se vidi da općina Breza vodi tri (3) postupka protiv RMU „Breza“ d.o.o. Breza, Zeničko-dobojskog kantona i Federacije BiH ukupne vrijednosti 31.188.665,86 KM.</w:t>
      </w:r>
    </w:p>
    <w:p w14:paraId="043D18F1" w14:textId="582E6E38" w:rsidR="00712E65" w:rsidRPr="00712E65" w:rsidRDefault="00712E65" w:rsidP="00712E65">
      <w:pPr>
        <w:spacing w:before="100" w:beforeAutospacing="1" w:after="100" w:afterAutospacing="1"/>
      </w:pPr>
      <w:r w:rsidRPr="00712E65">
        <w:t>ZAKLjUČAK</w:t>
      </w:r>
    </w:p>
    <w:p w14:paraId="5456219B" w14:textId="3AB857BC" w:rsidR="00712E65" w:rsidRDefault="00712E65" w:rsidP="00712E65">
      <w:pPr>
        <w:spacing w:before="100" w:beforeAutospacing="1" w:after="100" w:afterAutospacing="1"/>
      </w:pPr>
      <w:r w:rsidRPr="00712E65">
        <w:t>Analizirajući podatke prethodnih godina i upoređujući sa podacima iz 20</w:t>
      </w:r>
      <w:r>
        <w:t>20</w:t>
      </w:r>
      <w:r w:rsidRPr="00712E65">
        <w:t>. godine, može se zaključiti sljedeće:</w:t>
      </w:r>
    </w:p>
    <w:p w14:paraId="1373CCB7" w14:textId="254C43B7" w:rsidR="00712E65" w:rsidRPr="00712E65" w:rsidRDefault="00712E65" w:rsidP="00CB56A3">
      <w:pPr>
        <w:jc w:val="both"/>
      </w:pPr>
      <w:r>
        <w:t>-</w:t>
      </w:r>
      <w:r w:rsidR="00991141">
        <w:t>E</w:t>
      </w:r>
      <w:r>
        <w:t>videntno je smanjenje eksploatisanih količina čvrstih mineralnih resursa  na kamenolomima na području općine Breza</w:t>
      </w:r>
      <w:r w:rsidR="00D4511B">
        <w:t xml:space="preserve"> od strane koncesionara </w:t>
      </w:r>
      <w:r w:rsidR="00562BC7">
        <w:t xml:space="preserve">koji vrše eksploataciju na ovom području </w:t>
      </w:r>
      <w:r w:rsidR="00D4511B">
        <w:t>(raskinut koncesioni Ugovor sa privrednim subje</w:t>
      </w:r>
      <w:r w:rsidR="00CD4656">
        <w:t>k</w:t>
      </w:r>
      <w:r w:rsidR="00D4511B">
        <w:t xml:space="preserve">tom „Rudnik krečnjaka Breza“ zbog velikog duga i neplaćanja jednokratne koncesione naknade, a prema informacijama Ministarstva za privredu Zeničko-dobojskog kantona i privredni subjekt „Able Investment“ je tražio „zaleđivanje“ koncesije na godinu dana, a to znači da je i ovaj privredni subjekt u problemima vezano za eksploataciju i plaćanje kontinuirane koncesione naknade </w:t>
      </w:r>
      <w:r w:rsidR="00562BC7">
        <w:t>, a što ima za posljedicu</w:t>
      </w:r>
      <w:r w:rsidR="00D4511B">
        <w:t xml:space="preserve"> realn</w:t>
      </w:r>
      <w:r w:rsidR="00562BC7">
        <w:t>e</w:t>
      </w:r>
      <w:r w:rsidR="00D4511B">
        <w:t xml:space="preserve"> mogućnosti raskida koncesionog Ugovora) </w:t>
      </w:r>
    </w:p>
    <w:p w14:paraId="01D813D0" w14:textId="70E03BA8" w:rsidR="00991141" w:rsidRDefault="00712E65" w:rsidP="00CB56A3">
      <w:pPr>
        <w:jc w:val="both"/>
      </w:pPr>
      <w:r>
        <w:t>-</w:t>
      </w:r>
      <w:r w:rsidR="00CB56A3">
        <w:t xml:space="preserve">Što se tiće odnosa prema Rudniku „Breza“, </w:t>
      </w:r>
      <w:r w:rsidR="00991141">
        <w:t>O</w:t>
      </w:r>
      <w:r>
        <w:t>pćinsko vijeće Breza bi trebalo razmotriti</w:t>
      </w:r>
      <w:r w:rsidR="00D4511B">
        <w:t xml:space="preserve"> dvije opcije vezane za tužbe prema JP „Elektroprivreda BiH“ d.d. Sarajevo ZD Rudnik mrkog uglja „Breza“</w:t>
      </w:r>
      <w:r>
        <w:t xml:space="preserve"> </w:t>
      </w:r>
      <w:r w:rsidR="00991141">
        <w:t>u Brezi</w:t>
      </w:r>
      <w:r w:rsidR="00CB56A3">
        <w:t>, Zeničko-dobojskog kantona i Federacije Bosne i Hercegovine, a to su</w:t>
      </w:r>
      <w:r w:rsidR="00991141">
        <w:t>:</w:t>
      </w:r>
    </w:p>
    <w:p w14:paraId="3205D61E" w14:textId="3C619105" w:rsidR="00991141" w:rsidRDefault="00991141" w:rsidP="00CE00A7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</w:pPr>
      <w:r>
        <w:t>mogućnost ne odustajanja od tužbi i ulaska u jedan neizvjestan proces koji se može završiti pozitivno ili negativno po općinu Breza</w:t>
      </w:r>
      <w:r w:rsidR="00F262C3">
        <w:t xml:space="preserve"> vezano za dug Rudnika „Breza“</w:t>
      </w:r>
      <w:r>
        <w:t>;</w:t>
      </w:r>
    </w:p>
    <w:p w14:paraId="5C814758" w14:textId="18B2AE0A" w:rsidR="00712E65" w:rsidRPr="00712E65" w:rsidRDefault="00991141" w:rsidP="00CB56A3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</w:pPr>
      <w:r>
        <w:lastRenderedPageBreak/>
        <w:t xml:space="preserve">mogućnost  </w:t>
      </w:r>
      <w:r w:rsidR="00CB56A3">
        <w:t xml:space="preserve">odustajanje od tužbi te brzog potpisivanja koncesionog ugovora </w:t>
      </w:r>
      <w:r w:rsidR="00C43078">
        <w:t xml:space="preserve">Ministarstva za privredu Zeničko-dobojskog kantona </w:t>
      </w:r>
      <w:r w:rsidR="00CB56A3">
        <w:t>sa Rudnikom</w:t>
      </w:r>
      <w:r w:rsidR="005B79C6">
        <w:t xml:space="preserve"> „Breza“ </w:t>
      </w:r>
      <w:r w:rsidR="00CB56A3">
        <w:t xml:space="preserve"> (općinsko vijeće Kakanj je </w:t>
      </w:r>
      <w:r w:rsidR="005B79C6">
        <w:t xml:space="preserve">odustalo od tužbi i </w:t>
      </w:r>
      <w:r w:rsidR="00CB56A3">
        <w:t>potpisa</w:t>
      </w:r>
      <w:r w:rsidR="005B79C6">
        <w:t xml:space="preserve">n je </w:t>
      </w:r>
      <w:r w:rsidR="00CB56A3">
        <w:t xml:space="preserve"> koncesioni Ugovor </w:t>
      </w:r>
      <w:r w:rsidR="003E4361">
        <w:t xml:space="preserve">između </w:t>
      </w:r>
      <w:r w:rsidR="005365FF">
        <w:t xml:space="preserve">Ministarstva za privredu Zeničko-dobojskog kantona </w:t>
      </w:r>
      <w:r w:rsidR="003E4361">
        <w:t>i</w:t>
      </w:r>
      <w:r w:rsidR="00CB56A3">
        <w:t xml:space="preserve"> Rudnik</w:t>
      </w:r>
      <w:r w:rsidR="003E4361">
        <w:t>a uglja</w:t>
      </w:r>
      <w:r w:rsidR="00CB56A3">
        <w:t xml:space="preserve"> „Kakanj“ </w:t>
      </w:r>
      <w:r w:rsidR="00140932">
        <w:t>28.12.2020. godine</w:t>
      </w:r>
      <w:r w:rsidR="00F0752A">
        <w:t xml:space="preserve">. Ovim Ugovorom se Rudnik „Kakanj“ obavezao  plaćanja jednokratne koncesione naknade od 250,00 KM/h istražno-eksploatacionog prostora, a kako se radi o  površini </w:t>
      </w:r>
      <w:r w:rsidR="005365FF">
        <w:t xml:space="preserve">u općini Kakanj </w:t>
      </w:r>
      <w:r w:rsidR="00F0752A">
        <w:t xml:space="preserve">od  </w:t>
      </w:r>
      <w:r w:rsidR="00F0752A" w:rsidRPr="00F0752A">
        <w:t>5.888,37 hektara,</w:t>
      </w:r>
      <w:r w:rsidR="00F0752A">
        <w:t xml:space="preserve"> ovaj iznos će Rudnik „Kakanj“ platiti u 48 jednakih rata</w:t>
      </w:r>
      <w:r w:rsidR="005365FF">
        <w:t>. K</w:t>
      </w:r>
      <w:r w:rsidR="00F0752A">
        <w:t xml:space="preserve">ontinuirana koncesiona naknada </w:t>
      </w:r>
      <w:r w:rsidR="005365FF">
        <w:t xml:space="preserve">koja je definisana u koncesionom Ugovoru </w:t>
      </w:r>
      <w:r w:rsidR="00F0752A">
        <w:t>je 0,80 KM/t proizvedenog uglja</w:t>
      </w:r>
      <w:r w:rsidR="00140932">
        <w:t xml:space="preserve">. </w:t>
      </w:r>
      <w:r w:rsidR="00CB56A3">
        <w:t>Ministarstvo za privredu Zeničko-dobojskog kantona</w:t>
      </w:r>
      <w:r w:rsidR="00140932">
        <w:t xml:space="preserve"> je sugerisalo da i općina Breza povuće tužbe i </w:t>
      </w:r>
      <w:r w:rsidR="005365FF">
        <w:t xml:space="preserve">da Ministarstvo za privredu </w:t>
      </w:r>
      <w:r w:rsidR="00140932">
        <w:t xml:space="preserve">potpiše koncesioni </w:t>
      </w:r>
      <w:r w:rsidR="00387EB1">
        <w:t>U</w:t>
      </w:r>
      <w:r w:rsidR="00140932">
        <w:t>govor</w:t>
      </w:r>
      <w:r w:rsidR="005365FF">
        <w:t xml:space="preserve"> sa rudnikom „Breza“, a od uplaćene koncesione naknade 70% sredstava se prebacuje  općini Breza, a 30% Kanton</w:t>
      </w:r>
      <w:r w:rsidR="00387EB1">
        <w:t>,</w:t>
      </w:r>
      <w:r w:rsidR="005365FF">
        <w:t>u s tim da se iz sredstava koja ostaju Kantonu finansiraju projekti u Brezi</w:t>
      </w:r>
      <w:r w:rsidR="005B79C6">
        <w:t>)</w:t>
      </w:r>
      <w:r w:rsidR="00140932">
        <w:t>.</w:t>
      </w:r>
    </w:p>
    <w:p w14:paraId="2D0CBD4F" w14:textId="77777777" w:rsidR="00712E65" w:rsidRPr="003615E5" w:rsidRDefault="00712E65" w:rsidP="00382401">
      <w:pPr>
        <w:jc w:val="both"/>
      </w:pPr>
    </w:p>
    <w:p w14:paraId="6B33F373" w14:textId="77777777" w:rsidR="001C0D2C" w:rsidRDefault="001C0D2C" w:rsidP="00382401">
      <w:pPr>
        <w:jc w:val="both"/>
        <w:rPr>
          <w:szCs w:val="24"/>
        </w:rPr>
      </w:pPr>
    </w:p>
    <w:p w14:paraId="31B598D1" w14:textId="11AD5BEA" w:rsidR="00382401" w:rsidRDefault="00382401" w:rsidP="00382401">
      <w:pPr>
        <w:jc w:val="both"/>
        <w:rPr>
          <w:szCs w:val="24"/>
        </w:rPr>
      </w:pPr>
      <w:r>
        <w:rPr>
          <w:szCs w:val="24"/>
        </w:rPr>
        <w:t>Obrađivač : Čosić Nermin</w:t>
      </w:r>
    </w:p>
    <w:p w14:paraId="42ABE2B2" w14:textId="77777777" w:rsidR="001730C2" w:rsidRDefault="001730C2" w:rsidP="00382401">
      <w:pPr>
        <w:jc w:val="both"/>
        <w:rPr>
          <w:szCs w:val="24"/>
        </w:rPr>
      </w:pPr>
    </w:p>
    <w:p w14:paraId="1EB46305" w14:textId="6C6E5EC0" w:rsidR="00F92CFF" w:rsidRDefault="00F92CFF" w:rsidP="0038240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3244C0">
        <w:rPr>
          <w:szCs w:val="24"/>
        </w:rPr>
        <w:t xml:space="preserve">  </w:t>
      </w:r>
      <w:r w:rsidR="00C05E23">
        <w:rPr>
          <w:szCs w:val="24"/>
        </w:rPr>
        <w:t>Služba za privredu</w:t>
      </w:r>
    </w:p>
    <w:p w14:paraId="26EFB543" w14:textId="77777777" w:rsidR="0011182F" w:rsidRDefault="0011182F" w:rsidP="00382401">
      <w:pPr>
        <w:jc w:val="both"/>
        <w:rPr>
          <w:szCs w:val="24"/>
        </w:rPr>
      </w:pPr>
    </w:p>
    <w:p w14:paraId="139A72DC" w14:textId="368E1F58" w:rsidR="00382401" w:rsidRDefault="00C05E23" w:rsidP="0038240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</w:t>
      </w:r>
    </w:p>
    <w:p w14:paraId="04238E3C" w14:textId="77777777" w:rsidR="00C05E23" w:rsidRDefault="00791F9B" w:rsidP="00BB4C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</w:t>
      </w:r>
    </w:p>
    <w:p w14:paraId="1B4CE21F" w14:textId="55097FDD" w:rsidR="00C05E23" w:rsidRDefault="00C05E23" w:rsidP="00BB4CE4">
      <w:pPr>
        <w:jc w:val="both"/>
        <w:rPr>
          <w:rFonts w:cs="Arial"/>
          <w:szCs w:val="24"/>
        </w:rPr>
      </w:pPr>
    </w:p>
    <w:p w14:paraId="687B27C9" w14:textId="77777777" w:rsidR="0011182F" w:rsidRDefault="0011182F" w:rsidP="00BB4CE4">
      <w:pPr>
        <w:jc w:val="both"/>
        <w:rPr>
          <w:rFonts w:cs="Arial"/>
          <w:szCs w:val="24"/>
        </w:rPr>
      </w:pPr>
    </w:p>
    <w:p w14:paraId="45171AAE" w14:textId="526F6928" w:rsidR="00791F9B" w:rsidRDefault="00C05E23" w:rsidP="00BB4C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Općinsko pravobranilaštvo</w:t>
      </w:r>
    </w:p>
    <w:p w14:paraId="1721FEDF" w14:textId="0E3B749A" w:rsidR="00C05E23" w:rsidRDefault="00C05E23" w:rsidP="00BB4CE4">
      <w:pPr>
        <w:jc w:val="both"/>
        <w:rPr>
          <w:rFonts w:cs="Arial"/>
          <w:szCs w:val="24"/>
        </w:rPr>
      </w:pPr>
    </w:p>
    <w:p w14:paraId="19F4E548" w14:textId="055553EE" w:rsidR="00C05E23" w:rsidRDefault="00C05E23" w:rsidP="00BB4CE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</w:t>
      </w:r>
    </w:p>
    <w:p w14:paraId="10EF0168" w14:textId="1D62409A" w:rsidR="00AE3C23" w:rsidRPr="00564B5E" w:rsidRDefault="00AE3C23" w:rsidP="00BB4CE4">
      <w:pPr>
        <w:jc w:val="both"/>
        <w:rPr>
          <w:szCs w:val="24"/>
        </w:rPr>
      </w:pPr>
      <w:r>
        <w:rPr>
          <w:szCs w:val="24"/>
        </w:rPr>
        <w:t>Breza:</w:t>
      </w:r>
      <w:r w:rsidR="00564B5E">
        <w:rPr>
          <w:szCs w:val="24"/>
        </w:rPr>
        <w:t xml:space="preserve"> </w:t>
      </w:r>
      <w:r>
        <w:rPr>
          <w:szCs w:val="24"/>
        </w:rPr>
        <w:t>20.01.2021. godine</w:t>
      </w:r>
    </w:p>
    <w:sectPr w:rsidR="00AE3C23" w:rsidRPr="00564B5E" w:rsidSect="00634B12">
      <w:footerReference w:type="default" r:id="rId8"/>
      <w:pgSz w:w="11906" w:h="16838"/>
      <w:pgMar w:top="567" w:right="849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9903" w14:textId="77777777" w:rsidR="00C508EB" w:rsidRDefault="00C508EB" w:rsidP="002A39FB">
      <w:r>
        <w:separator/>
      </w:r>
    </w:p>
  </w:endnote>
  <w:endnote w:type="continuationSeparator" w:id="0">
    <w:p w14:paraId="67F7B591" w14:textId="77777777" w:rsidR="00C508EB" w:rsidRDefault="00C508EB" w:rsidP="002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EFB9" w14:textId="77777777" w:rsidR="001F3A50" w:rsidRDefault="001F3A50" w:rsidP="001F3A5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bookmarkStart w:id="2" w:name="_Hlk34986007"/>
    <w:bookmarkStart w:id="3" w:name="_Hlk34986008"/>
    <w:bookmarkStart w:id="4" w:name="_Hlk57636574"/>
    <w:bookmarkStart w:id="5" w:name="_Hlk57636575"/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F47594B" wp14:editId="6F398DA7">
          <wp:simplePos x="0" y="0"/>
          <wp:positionH relativeFrom="column">
            <wp:posOffset>4994910</wp:posOffset>
          </wp:positionH>
          <wp:positionV relativeFrom="paragraph">
            <wp:posOffset>33020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0DFC1FCE" wp14:editId="1C5CD71D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14:paraId="69A64DFE" w14:textId="77777777" w:rsidR="001F3A50" w:rsidRDefault="001F3A50" w:rsidP="001F3A5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14:paraId="2C0AF58C" w14:textId="77777777" w:rsidR="001F3A50" w:rsidRPr="00385356" w:rsidRDefault="001F3A50" w:rsidP="001F3A50">
    <w:pPr>
      <w:pStyle w:val="Footer"/>
      <w:pBdr>
        <w:top w:val="single" w:sz="8" w:space="1" w:color="000000"/>
      </w:pBdr>
      <w:jc w:val="center"/>
      <w:rPr>
        <w:szCs w:val="24"/>
      </w:rPr>
    </w:pPr>
    <w:r>
      <w:rPr>
        <w:sz w:val="16"/>
        <w:szCs w:val="16"/>
      </w:rPr>
      <w:t xml:space="preserve">e-mail: </w:t>
    </w:r>
    <w:hyperlink r:id="rId3" w:history="1">
      <w:r w:rsidRPr="009500BE">
        <w:rPr>
          <w:rStyle w:val="Hyperlink"/>
          <w:sz w:val="16"/>
          <w:szCs w:val="16"/>
        </w:rPr>
        <w:t>privreda@breza.gov.ba</w:t>
      </w:r>
    </w:hyperlink>
    <w:r>
      <w:rPr>
        <w:sz w:val="16"/>
        <w:szCs w:val="16"/>
      </w:rPr>
      <w:t xml:space="preserve">  , </w:t>
    </w:r>
    <w:hyperlink r:id="rId4" w:history="1">
      <w:r>
        <w:rPr>
          <w:rStyle w:val="Hyperlink"/>
          <w:sz w:val="16"/>
        </w:rPr>
        <w:t>www.breza.gov.ba</w:t>
      </w:r>
    </w:hyperlink>
    <w:bookmarkEnd w:id="2"/>
    <w:bookmarkEnd w:id="3"/>
    <w:bookmarkEnd w:id="4"/>
    <w:bookmarkEnd w:id="5"/>
  </w:p>
  <w:p w14:paraId="3B7AC165" w14:textId="77777777" w:rsidR="001F3A50" w:rsidRDefault="001F3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8442" w14:textId="77777777" w:rsidR="00C508EB" w:rsidRDefault="00C508EB" w:rsidP="002A39FB">
      <w:r>
        <w:separator/>
      </w:r>
    </w:p>
  </w:footnote>
  <w:footnote w:type="continuationSeparator" w:id="0">
    <w:p w14:paraId="743E9D24" w14:textId="77777777" w:rsidR="00C508EB" w:rsidRDefault="00C508EB" w:rsidP="002A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929F9"/>
    <w:multiLevelType w:val="hybridMultilevel"/>
    <w:tmpl w:val="EE0271C2"/>
    <w:lvl w:ilvl="0" w:tplc="9D16CD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6592"/>
    <w:multiLevelType w:val="hybridMultilevel"/>
    <w:tmpl w:val="C91A93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16CD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675F11"/>
    <w:multiLevelType w:val="hybridMultilevel"/>
    <w:tmpl w:val="D400AAE8"/>
    <w:lvl w:ilvl="0" w:tplc="F7505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6CD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20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36E85"/>
    <w:multiLevelType w:val="hybridMultilevel"/>
    <w:tmpl w:val="765AE744"/>
    <w:lvl w:ilvl="0" w:tplc="041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6C4561C2"/>
    <w:multiLevelType w:val="hybridMultilevel"/>
    <w:tmpl w:val="438A7270"/>
    <w:lvl w:ilvl="0" w:tplc="F7505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6CD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20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61031"/>
    <w:multiLevelType w:val="hybridMultilevel"/>
    <w:tmpl w:val="917A7F16"/>
    <w:lvl w:ilvl="0" w:tplc="F7505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6CD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20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1416D"/>
    <w:multiLevelType w:val="hybridMultilevel"/>
    <w:tmpl w:val="520C043A"/>
    <w:lvl w:ilvl="0" w:tplc="F7505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6CD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20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401"/>
    <w:rsid w:val="00003931"/>
    <w:rsid w:val="000203C6"/>
    <w:rsid w:val="00030E8E"/>
    <w:rsid w:val="0003673D"/>
    <w:rsid w:val="00042AD1"/>
    <w:rsid w:val="0005383F"/>
    <w:rsid w:val="000762DB"/>
    <w:rsid w:val="00084F95"/>
    <w:rsid w:val="000B0E52"/>
    <w:rsid w:val="000C339D"/>
    <w:rsid w:val="000F26ED"/>
    <w:rsid w:val="0011182F"/>
    <w:rsid w:val="001242D9"/>
    <w:rsid w:val="00140932"/>
    <w:rsid w:val="001730C2"/>
    <w:rsid w:val="00181487"/>
    <w:rsid w:val="00190BB1"/>
    <w:rsid w:val="001A5D4D"/>
    <w:rsid w:val="001C0D2C"/>
    <w:rsid w:val="001D7BDA"/>
    <w:rsid w:val="001D7D5C"/>
    <w:rsid w:val="001F3A50"/>
    <w:rsid w:val="00205B67"/>
    <w:rsid w:val="00210CEF"/>
    <w:rsid w:val="00221ECC"/>
    <w:rsid w:val="0022526E"/>
    <w:rsid w:val="002435C0"/>
    <w:rsid w:val="002A39FB"/>
    <w:rsid w:val="002D4FDE"/>
    <w:rsid w:val="002E0B4E"/>
    <w:rsid w:val="002F5C46"/>
    <w:rsid w:val="003159BC"/>
    <w:rsid w:val="003244C0"/>
    <w:rsid w:val="00333E2A"/>
    <w:rsid w:val="003615E5"/>
    <w:rsid w:val="00382401"/>
    <w:rsid w:val="00387EB1"/>
    <w:rsid w:val="003A597B"/>
    <w:rsid w:val="003D1967"/>
    <w:rsid w:val="003D32BA"/>
    <w:rsid w:val="003E4361"/>
    <w:rsid w:val="003E5260"/>
    <w:rsid w:val="003E682D"/>
    <w:rsid w:val="003F2331"/>
    <w:rsid w:val="003F4D1B"/>
    <w:rsid w:val="00416B61"/>
    <w:rsid w:val="004261F8"/>
    <w:rsid w:val="004747C9"/>
    <w:rsid w:val="00487A7D"/>
    <w:rsid w:val="004B022B"/>
    <w:rsid w:val="004B7C08"/>
    <w:rsid w:val="004D15A3"/>
    <w:rsid w:val="00512DD2"/>
    <w:rsid w:val="0051495F"/>
    <w:rsid w:val="0052641A"/>
    <w:rsid w:val="005365FF"/>
    <w:rsid w:val="00562BC7"/>
    <w:rsid w:val="00564B5E"/>
    <w:rsid w:val="005B6F07"/>
    <w:rsid w:val="005B79C6"/>
    <w:rsid w:val="005C2BC8"/>
    <w:rsid w:val="006175BC"/>
    <w:rsid w:val="006326DD"/>
    <w:rsid w:val="00634B12"/>
    <w:rsid w:val="006C6531"/>
    <w:rsid w:val="006F3745"/>
    <w:rsid w:val="0070790E"/>
    <w:rsid w:val="00711177"/>
    <w:rsid w:val="00712E65"/>
    <w:rsid w:val="00716ACD"/>
    <w:rsid w:val="00731072"/>
    <w:rsid w:val="00791F9B"/>
    <w:rsid w:val="007D795E"/>
    <w:rsid w:val="00815B48"/>
    <w:rsid w:val="00820ACE"/>
    <w:rsid w:val="0082130C"/>
    <w:rsid w:val="00840EDD"/>
    <w:rsid w:val="008A6491"/>
    <w:rsid w:val="008C1559"/>
    <w:rsid w:val="008F33B5"/>
    <w:rsid w:val="008F6AEC"/>
    <w:rsid w:val="0095528D"/>
    <w:rsid w:val="00971EDB"/>
    <w:rsid w:val="00991141"/>
    <w:rsid w:val="009C040A"/>
    <w:rsid w:val="009C18BA"/>
    <w:rsid w:val="00A074F4"/>
    <w:rsid w:val="00A453B3"/>
    <w:rsid w:val="00A864CE"/>
    <w:rsid w:val="00AE3C23"/>
    <w:rsid w:val="00AF0C13"/>
    <w:rsid w:val="00AF7E67"/>
    <w:rsid w:val="00B46336"/>
    <w:rsid w:val="00BB4CE4"/>
    <w:rsid w:val="00C05E23"/>
    <w:rsid w:val="00C43078"/>
    <w:rsid w:val="00C508EB"/>
    <w:rsid w:val="00C56C80"/>
    <w:rsid w:val="00C87157"/>
    <w:rsid w:val="00C977C9"/>
    <w:rsid w:val="00CA7A22"/>
    <w:rsid w:val="00CB56A3"/>
    <w:rsid w:val="00CC6FB1"/>
    <w:rsid w:val="00CD4656"/>
    <w:rsid w:val="00CD6718"/>
    <w:rsid w:val="00CE00A7"/>
    <w:rsid w:val="00D21BDC"/>
    <w:rsid w:val="00D42B2D"/>
    <w:rsid w:val="00D4511B"/>
    <w:rsid w:val="00D53641"/>
    <w:rsid w:val="00D62EFF"/>
    <w:rsid w:val="00D876FE"/>
    <w:rsid w:val="00D90CD8"/>
    <w:rsid w:val="00D92FCF"/>
    <w:rsid w:val="00DB5C79"/>
    <w:rsid w:val="00E603CC"/>
    <w:rsid w:val="00E61191"/>
    <w:rsid w:val="00E7064C"/>
    <w:rsid w:val="00E713E3"/>
    <w:rsid w:val="00E723C0"/>
    <w:rsid w:val="00E83EBB"/>
    <w:rsid w:val="00EA17B9"/>
    <w:rsid w:val="00EB0AFC"/>
    <w:rsid w:val="00EF20A1"/>
    <w:rsid w:val="00F052E5"/>
    <w:rsid w:val="00F0752A"/>
    <w:rsid w:val="00F262C3"/>
    <w:rsid w:val="00F34749"/>
    <w:rsid w:val="00F420B9"/>
    <w:rsid w:val="00F43E7E"/>
    <w:rsid w:val="00F44341"/>
    <w:rsid w:val="00F4439F"/>
    <w:rsid w:val="00F64C90"/>
    <w:rsid w:val="00F92CFF"/>
    <w:rsid w:val="00F95594"/>
    <w:rsid w:val="00FA3FA3"/>
    <w:rsid w:val="00FB5E04"/>
    <w:rsid w:val="00FD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610"/>
  <w15:docId w15:val="{A7C642EA-0BF0-425A-894A-51600FAD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01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401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382401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A39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39F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nhideWhenUsed/>
    <w:rsid w:val="001F3A50"/>
    <w:rPr>
      <w:color w:val="0000FF"/>
      <w:u w:val="single"/>
    </w:rPr>
  </w:style>
  <w:style w:type="table" w:styleId="TableGrid">
    <w:name w:val="Table Grid"/>
    <w:basedOn w:val="TableNormal"/>
    <w:rsid w:val="00F052E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4B1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9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Čosić</dc:creator>
  <cp:keywords/>
  <dc:description/>
  <cp:lastModifiedBy>Nermin Čosić</cp:lastModifiedBy>
  <cp:revision>65</cp:revision>
  <cp:lastPrinted>2020-12-30T11:39:00Z</cp:lastPrinted>
  <dcterms:created xsi:type="dcterms:W3CDTF">2020-12-30T10:02:00Z</dcterms:created>
  <dcterms:modified xsi:type="dcterms:W3CDTF">2021-01-21T07:10:00Z</dcterms:modified>
</cp:coreProperties>
</file>